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22FAF15" w:rsidR="001F6D29" w:rsidRDefault="009B0B45">
      <w:pPr>
        <w:widowControl w:val="0"/>
        <w:pBdr>
          <w:top w:val="nil"/>
          <w:left w:val="nil"/>
          <w:bottom w:val="nil"/>
          <w:right w:val="nil"/>
          <w:between w:val="nil"/>
        </w:pBdr>
        <w:spacing w:after="0" w:line="276" w:lineRule="auto"/>
      </w:pPr>
      <w:r>
        <w:rPr>
          <w:rFonts w:ascii="Arial" w:eastAsia="Arial" w:hAnsi="Arial" w:cs="Arial"/>
          <w:b/>
          <w:noProof/>
          <w:sz w:val="36"/>
          <w:szCs w:val="36"/>
        </w:rPr>
        <w:drawing>
          <wp:anchor distT="0" distB="0" distL="114300" distR="114300" simplePos="0" relativeHeight="251661312" behindDoc="1" locked="0" layoutInCell="1" allowOverlap="1" wp14:anchorId="5323D8A3" wp14:editId="0D84CD9D">
            <wp:simplePos x="0" y="0"/>
            <wp:positionH relativeFrom="margin">
              <wp:align>left</wp:align>
            </wp:positionH>
            <wp:positionV relativeFrom="paragraph">
              <wp:posOffset>409575</wp:posOffset>
            </wp:positionV>
            <wp:extent cx="5391150" cy="3600450"/>
            <wp:effectExtent l="0" t="0" r="0" b="0"/>
            <wp:wrapTight wrapText="bothSides">
              <wp:wrapPolygon edited="0">
                <wp:start x="0" y="0"/>
                <wp:lineTo x="0" y="21486"/>
                <wp:lineTo x="21524" y="21486"/>
                <wp:lineTo x="215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36"/>
          <w:szCs w:val="36"/>
        </w:rPr>
        <w:drawing>
          <wp:anchor distT="0" distB="0" distL="114300" distR="114300" simplePos="0" relativeHeight="251662336" behindDoc="1" locked="0" layoutInCell="1" allowOverlap="1" wp14:anchorId="7DFC4D06" wp14:editId="0D6C00D6">
            <wp:simplePos x="0" y="0"/>
            <wp:positionH relativeFrom="margin">
              <wp:posOffset>2326640</wp:posOffset>
            </wp:positionH>
            <wp:positionV relativeFrom="paragraph">
              <wp:posOffset>0</wp:posOffset>
            </wp:positionV>
            <wp:extent cx="3639185" cy="2295525"/>
            <wp:effectExtent l="0" t="0" r="0" b="9525"/>
            <wp:wrapTight wrapText="bothSides">
              <wp:wrapPolygon edited="0">
                <wp:start x="0" y="0"/>
                <wp:lineTo x="0" y="21510"/>
                <wp:lineTo x="21483" y="21510"/>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9185" cy="2295525"/>
                    </a:xfrm>
                    <a:prstGeom prst="rect">
                      <a:avLst/>
                    </a:prstGeom>
                    <a:noFill/>
                  </pic:spPr>
                </pic:pic>
              </a:graphicData>
            </a:graphic>
            <wp14:sizeRelH relativeFrom="page">
              <wp14:pctWidth>0</wp14:pctWidth>
            </wp14:sizeRelH>
            <wp14:sizeRelV relativeFrom="page">
              <wp14:pctHeight>0</wp14:pctHeight>
            </wp14:sizeRelV>
          </wp:anchor>
        </w:drawing>
      </w:r>
    </w:p>
    <w:p w14:paraId="00000002" w14:textId="59F38797" w:rsidR="001F6D29" w:rsidRDefault="001F6D29">
      <w:pPr>
        <w:spacing w:line="240" w:lineRule="auto"/>
        <w:rPr>
          <w:rFonts w:ascii="Arial" w:eastAsia="Arial" w:hAnsi="Arial" w:cs="Arial"/>
          <w:b/>
          <w:sz w:val="36"/>
          <w:szCs w:val="36"/>
        </w:rPr>
      </w:pPr>
    </w:p>
    <w:p w14:paraId="00000003" w14:textId="77777777" w:rsidR="001F6D29" w:rsidRDefault="008B14D3">
      <w:pPr>
        <w:spacing w:line="240" w:lineRule="auto"/>
        <w:rPr>
          <w:rFonts w:ascii="Arial" w:eastAsia="Arial" w:hAnsi="Arial" w:cs="Arial"/>
          <w:b/>
          <w:sz w:val="36"/>
          <w:szCs w:val="36"/>
        </w:rPr>
      </w:pPr>
      <w:r>
        <w:rPr>
          <w:rFonts w:ascii="Arial" w:eastAsia="Arial" w:hAnsi="Arial" w:cs="Arial"/>
          <w:b/>
          <w:sz w:val="36"/>
          <w:szCs w:val="36"/>
        </w:rPr>
        <w:t>Una inédita oportunidad para la carne Argentina</w:t>
      </w:r>
    </w:p>
    <w:p w14:paraId="00000004" w14:textId="56ACB1EB" w:rsidR="001F6D29" w:rsidRDefault="008B14D3">
      <w:pPr>
        <w:jc w:val="both"/>
        <w:rPr>
          <w:rFonts w:ascii="Arial" w:eastAsia="Arial" w:hAnsi="Arial" w:cs="Arial"/>
          <w:b/>
          <w:sz w:val="28"/>
          <w:szCs w:val="28"/>
        </w:rPr>
      </w:pPr>
      <w:r>
        <w:rPr>
          <w:rFonts w:ascii="Arial" w:eastAsia="Arial" w:hAnsi="Arial" w:cs="Arial"/>
          <w:i/>
          <w:sz w:val="24"/>
          <w:szCs w:val="24"/>
        </w:rPr>
        <w:t>La demanda récord de Asia, el consumo interno satisfecho y el aumento de la productividad, tres factores generadores de una oportunidad inédita para nuestro sector ganadero.</w:t>
      </w:r>
    </w:p>
    <w:p w14:paraId="00000005" w14:textId="77777777" w:rsidR="001F6D29" w:rsidRDefault="008B14D3">
      <w:pPr>
        <w:shd w:val="clear" w:color="auto" w:fill="A7C35B"/>
        <w:jc w:val="both"/>
        <w:rPr>
          <w:rFonts w:ascii="Arial" w:eastAsia="Arial" w:hAnsi="Arial" w:cs="Arial"/>
          <w:b/>
          <w:color w:val="FFFFFF"/>
        </w:rPr>
      </w:pPr>
      <w:r>
        <w:rPr>
          <w:rFonts w:ascii="Arial" w:eastAsia="Arial" w:hAnsi="Arial" w:cs="Arial"/>
          <w:b/>
          <w:color w:val="FFFFFF"/>
        </w:rPr>
        <w:t>Un informe publicado por la FUNDACIÓN PRODUCIR CONSERVANDO y realizado por el Ing. Agr. Fernando Canosa, describe un marco muy favorable a nivel mundial, asociado a una mesa de los argentinos satisfecha.</w:t>
      </w:r>
    </w:p>
    <w:p w14:paraId="00000006" w14:textId="77777777" w:rsidR="001F6D29" w:rsidRDefault="001F6D29">
      <w:pPr>
        <w:jc w:val="both"/>
        <w:rPr>
          <w:rFonts w:ascii="Arial" w:eastAsia="Arial" w:hAnsi="Arial" w:cs="Arial"/>
          <w:sz w:val="24"/>
          <w:szCs w:val="24"/>
        </w:rPr>
      </w:pPr>
    </w:p>
    <w:p w14:paraId="00000007" w14:textId="77777777" w:rsidR="001F6D29" w:rsidRDefault="008B14D3">
      <w:pPr>
        <w:jc w:val="both"/>
        <w:rPr>
          <w:rFonts w:ascii="Arial" w:eastAsia="Arial" w:hAnsi="Arial" w:cs="Arial"/>
          <w:sz w:val="24"/>
          <w:szCs w:val="24"/>
        </w:rPr>
      </w:pPr>
      <w:r>
        <w:rPr>
          <w:rFonts w:ascii="Arial" w:eastAsia="Arial" w:hAnsi="Arial" w:cs="Arial"/>
          <w:sz w:val="24"/>
          <w:szCs w:val="24"/>
        </w:rPr>
        <w:t xml:space="preserve">El comercio mundial de carne bovina se encuentra ante una </w:t>
      </w:r>
      <w:r>
        <w:rPr>
          <w:rFonts w:ascii="Arial" w:eastAsia="Arial" w:hAnsi="Arial" w:cs="Arial"/>
          <w:b/>
          <w:sz w:val="24"/>
          <w:szCs w:val="24"/>
        </w:rPr>
        <w:t>situación inédita</w:t>
      </w:r>
      <w:r>
        <w:rPr>
          <w:rFonts w:ascii="Arial" w:eastAsia="Arial" w:hAnsi="Arial" w:cs="Arial"/>
          <w:sz w:val="24"/>
          <w:szCs w:val="24"/>
        </w:rPr>
        <w:t xml:space="preserve"> sin antecedentes, definidos en cuatro puntos:</w:t>
      </w:r>
    </w:p>
    <w:p w14:paraId="00000008" w14:textId="77777777" w:rsidR="001F6D29" w:rsidRDefault="001F6D29">
      <w:pPr>
        <w:jc w:val="both"/>
        <w:rPr>
          <w:rFonts w:ascii="Arial" w:eastAsia="Arial" w:hAnsi="Arial" w:cs="Arial"/>
          <w:sz w:val="24"/>
          <w:szCs w:val="24"/>
        </w:rPr>
      </w:pPr>
    </w:p>
    <w:p w14:paraId="00000009" w14:textId="77777777" w:rsidR="001F6D29" w:rsidRDefault="008B14D3">
      <w:pPr>
        <w:numPr>
          <w:ilvl w:val="0"/>
          <w:numId w:val="2"/>
        </w:numPr>
        <w:pBdr>
          <w:top w:val="nil"/>
          <w:left w:val="nil"/>
          <w:bottom w:val="nil"/>
          <w:right w:val="nil"/>
          <w:between w:val="nil"/>
        </w:pBdr>
        <w:shd w:val="clear" w:color="auto" w:fill="22542A"/>
        <w:jc w:val="both"/>
        <w:rPr>
          <w:rFonts w:ascii="Arial" w:eastAsia="Arial" w:hAnsi="Arial" w:cs="Arial"/>
          <w:b/>
          <w:color w:val="FFFFFF"/>
          <w:sz w:val="28"/>
          <w:szCs w:val="28"/>
        </w:rPr>
      </w:pPr>
      <w:r>
        <w:rPr>
          <w:rFonts w:ascii="Arial" w:eastAsia="Arial" w:hAnsi="Arial" w:cs="Arial"/>
          <w:b/>
          <w:color w:val="FFFFFF"/>
          <w:sz w:val="28"/>
          <w:szCs w:val="28"/>
        </w:rPr>
        <w:t xml:space="preserve">La alta demanda de China y resto de Asia: </w:t>
      </w:r>
    </w:p>
    <w:p w14:paraId="0000000A" w14:textId="77777777" w:rsidR="001F6D29" w:rsidRDefault="008B14D3">
      <w:pPr>
        <w:jc w:val="both"/>
        <w:rPr>
          <w:rFonts w:ascii="Arial" w:eastAsia="Arial" w:hAnsi="Arial" w:cs="Arial"/>
          <w:sz w:val="24"/>
          <w:szCs w:val="24"/>
        </w:rPr>
      </w:pPr>
      <w:r>
        <w:rPr>
          <w:rFonts w:ascii="Arial" w:eastAsia="Arial" w:hAnsi="Arial" w:cs="Arial"/>
          <w:sz w:val="20"/>
          <w:szCs w:val="20"/>
        </w:rPr>
        <w:t>Desde el año 2012 irrumpe China y con ella el sudeste asiático se transforma en la aspiradora de carne vacuna, basada en un gran crecimiento económico que trae aparejado un cambio sustancial en los hábitos de consumo de su población</w:t>
      </w:r>
      <w:r>
        <w:rPr>
          <w:rFonts w:ascii="Arial" w:eastAsia="Arial" w:hAnsi="Arial" w:cs="Arial"/>
          <w:sz w:val="24"/>
          <w:szCs w:val="24"/>
        </w:rPr>
        <w:t xml:space="preserve">. </w:t>
      </w:r>
    </w:p>
    <w:p w14:paraId="0000000B" w14:textId="77777777" w:rsidR="001F6D29" w:rsidRDefault="008B14D3">
      <w:pPr>
        <w:keepNext/>
        <w:jc w:val="both"/>
      </w:pPr>
      <w:r>
        <w:rPr>
          <w:noProof/>
        </w:rPr>
        <w:lastRenderedPageBreak/>
        <w:drawing>
          <wp:inline distT="0" distB="0" distL="0" distR="0">
            <wp:extent cx="5400040" cy="2179320"/>
            <wp:effectExtent l="0" t="0" r="0" b="0"/>
            <wp:docPr id="2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7559" b="10702"/>
                    <a:stretch>
                      <a:fillRect/>
                    </a:stretch>
                  </pic:blipFill>
                  <pic:spPr>
                    <a:xfrm>
                      <a:off x="0" y="0"/>
                      <a:ext cx="5400040" cy="2179320"/>
                    </a:xfrm>
                    <a:prstGeom prst="rect">
                      <a:avLst/>
                    </a:prstGeom>
                    <a:ln/>
                  </pic:spPr>
                </pic:pic>
              </a:graphicData>
            </a:graphic>
          </wp:inline>
        </w:drawing>
      </w:r>
    </w:p>
    <w:p w14:paraId="0000000C" w14:textId="77777777" w:rsidR="001F6D29" w:rsidRDefault="008B14D3">
      <w:pPr>
        <w:pBdr>
          <w:top w:val="nil"/>
          <w:left w:val="nil"/>
          <w:bottom w:val="nil"/>
          <w:right w:val="nil"/>
          <w:between w:val="nil"/>
        </w:pBdr>
        <w:spacing w:after="200" w:line="240" w:lineRule="auto"/>
        <w:jc w:val="both"/>
        <w:rPr>
          <w:i/>
          <w:color w:val="44546A"/>
          <w:sz w:val="18"/>
          <w:szCs w:val="18"/>
        </w:rPr>
      </w:pPr>
      <w:r>
        <w:rPr>
          <w:i/>
          <w:color w:val="44546A"/>
          <w:sz w:val="18"/>
          <w:szCs w:val="18"/>
        </w:rPr>
        <w:t>Gráfico 1 Evolución importaciones de carne vacuna en China – Elaboración propia en base a USDA y MLA.</w:t>
      </w:r>
    </w:p>
    <w:p w14:paraId="0000000D" w14:textId="77777777" w:rsidR="001F6D29" w:rsidRDefault="001F6D29">
      <w:pPr>
        <w:pBdr>
          <w:top w:val="nil"/>
          <w:left w:val="nil"/>
          <w:bottom w:val="nil"/>
          <w:right w:val="nil"/>
          <w:between w:val="nil"/>
        </w:pBdr>
        <w:spacing w:after="200" w:line="240" w:lineRule="auto"/>
        <w:jc w:val="both"/>
        <w:rPr>
          <w:i/>
          <w:color w:val="44546A"/>
          <w:sz w:val="18"/>
          <w:szCs w:val="18"/>
        </w:rPr>
      </w:pPr>
    </w:p>
    <w:p w14:paraId="0000000E" w14:textId="77777777" w:rsidR="001F6D29" w:rsidRDefault="001F6D29">
      <w:pPr>
        <w:pBdr>
          <w:top w:val="nil"/>
          <w:left w:val="nil"/>
          <w:bottom w:val="nil"/>
          <w:right w:val="nil"/>
          <w:between w:val="nil"/>
        </w:pBdr>
        <w:spacing w:after="200" w:line="240" w:lineRule="auto"/>
        <w:jc w:val="both"/>
        <w:rPr>
          <w:i/>
          <w:color w:val="44546A"/>
          <w:sz w:val="18"/>
          <w:szCs w:val="18"/>
        </w:rPr>
      </w:pPr>
    </w:p>
    <w:p w14:paraId="0000000F" w14:textId="77777777" w:rsidR="001F6D29" w:rsidRDefault="001F6D29">
      <w:pPr>
        <w:pBdr>
          <w:top w:val="nil"/>
          <w:left w:val="nil"/>
          <w:bottom w:val="nil"/>
          <w:right w:val="nil"/>
          <w:between w:val="nil"/>
        </w:pBdr>
        <w:spacing w:after="200" w:line="240" w:lineRule="auto"/>
        <w:jc w:val="both"/>
        <w:rPr>
          <w:rFonts w:ascii="Arial" w:eastAsia="Arial" w:hAnsi="Arial" w:cs="Arial"/>
          <w:i/>
          <w:color w:val="44546A"/>
          <w:sz w:val="24"/>
          <w:szCs w:val="24"/>
        </w:rPr>
      </w:pPr>
    </w:p>
    <w:p w14:paraId="00000010" w14:textId="77777777" w:rsidR="001F6D29" w:rsidRDefault="008B14D3">
      <w:pPr>
        <w:numPr>
          <w:ilvl w:val="0"/>
          <w:numId w:val="2"/>
        </w:numPr>
        <w:pBdr>
          <w:top w:val="nil"/>
          <w:left w:val="nil"/>
          <w:bottom w:val="nil"/>
          <w:right w:val="nil"/>
          <w:between w:val="nil"/>
        </w:pBdr>
        <w:shd w:val="clear" w:color="auto" w:fill="22542A"/>
        <w:jc w:val="both"/>
        <w:rPr>
          <w:rFonts w:ascii="Arial" w:eastAsia="Arial" w:hAnsi="Arial" w:cs="Arial"/>
          <w:b/>
          <w:color w:val="FFFFFF"/>
          <w:sz w:val="28"/>
          <w:szCs w:val="28"/>
        </w:rPr>
      </w:pPr>
      <w:r>
        <w:rPr>
          <w:rFonts w:ascii="Arial" w:eastAsia="Arial" w:hAnsi="Arial" w:cs="Arial"/>
          <w:b/>
          <w:color w:val="FFFFFF"/>
          <w:sz w:val="28"/>
          <w:szCs w:val="28"/>
        </w:rPr>
        <w:t>La alta velocidad de crecimiento de la demanda:</w:t>
      </w:r>
    </w:p>
    <w:p w14:paraId="00000011" w14:textId="77777777" w:rsidR="001F6D29" w:rsidRDefault="008B14D3">
      <w:pPr>
        <w:jc w:val="both"/>
        <w:rPr>
          <w:rFonts w:ascii="Arial" w:eastAsia="Arial" w:hAnsi="Arial" w:cs="Arial"/>
          <w:sz w:val="20"/>
          <w:szCs w:val="20"/>
        </w:rPr>
      </w:pPr>
      <w:r>
        <w:rPr>
          <w:rFonts w:ascii="Arial" w:eastAsia="Arial" w:hAnsi="Arial" w:cs="Arial"/>
          <w:sz w:val="20"/>
          <w:szCs w:val="20"/>
        </w:rPr>
        <w:t>En los últimos 20 años la producción mundial de carne bovina subió por la escalera, creció un 20%; mientras el comercio mundial subió por ascensor, creció un 80%.</w:t>
      </w:r>
    </w:p>
    <w:p w14:paraId="00000012" w14:textId="77777777" w:rsidR="001F6D29" w:rsidRDefault="008B14D3">
      <w:pPr>
        <w:keepNext/>
        <w:jc w:val="both"/>
      </w:pPr>
      <w:r>
        <w:rPr>
          <w:noProof/>
        </w:rPr>
        <w:drawing>
          <wp:inline distT="0" distB="0" distL="0" distR="0">
            <wp:extent cx="5181600" cy="2793206"/>
            <wp:effectExtent l="0" t="0" r="0" b="0"/>
            <wp:docPr id="2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181600" cy="2793206"/>
                    </a:xfrm>
                    <a:prstGeom prst="rect">
                      <a:avLst/>
                    </a:prstGeom>
                    <a:ln/>
                  </pic:spPr>
                </pic:pic>
              </a:graphicData>
            </a:graphic>
          </wp:inline>
        </w:drawing>
      </w:r>
    </w:p>
    <w:p w14:paraId="00000013" w14:textId="77777777" w:rsidR="001F6D29" w:rsidRDefault="008B14D3">
      <w:pPr>
        <w:pBdr>
          <w:top w:val="nil"/>
          <w:left w:val="nil"/>
          <w:bottom w:val="nil"/>
          <w:right w:val="nil"/>
          <w:between w:val="nil"/>
        </w:pBdr>
        <w:spacing w:after="200" w:line="240" w:lineRule="auto"/>
        <w:jc w:val="both"/>
        <w:rPr>
          <w:rFonts w:ascii="Arial" w:eastAsia="Arial" w:hAnsi="Arial" w:cs="Arial"/>
          <w:i/>
          <w:color w:val="44546A"/>
          <w:sz w:val="24"/>
          <w:szCs w:val="24"/>
        </w:rPr>
      </w:pPr>
      <w:r>
        <w:rPr>
          <w:i/>
          <w:color w:val="44546A"/>
          <w:sz w:val="18"/>
          <w:szCs w:val="18"/>
        </w:rPr>
        <w:t>Gráfico 2 Producción y exportación mundial de carne vacuna – Elaboración propia en base a USDA</w:t>
      </w:r>
    </w:p>
    <w:p w14:paraId="00000014" w14:textId="5A718028" w:rsidR="001F6D29" w:rsidRDefault="00E41926">
      <w:pPr>
        <w:keepNext/>
        <w:jc w:val="both"/>
      </w:pPr>
      <w:r>
        <w:rPr>
          <w:noProof/>
        </w:rPr>
        <w:lastRenderedPageBreak/>
        <w:drawing>
          <wp:inline distT="0" distB="0" distL="0" distR="0" wp14:anchorId="4F4E737E" wp14:editId="48B941A5">
            <wp:extent cx="5400040" cy="236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362200"/>
                    </a:xfrm>
                    <a:prstGeom prst="rect">
                      <a:avLst/>
                    </a:prstGeom>
                  </pic:spPr>
                </pic:pic>
              </a:graphicData>
            </a:graphic>
          </wp:inline>
        </w:drawing>
      </w:r>
    </w:p>
    <w:p w14:paraId="00000015" w14:textId="77777777" w:rsidR="001F6D29" w:rsidRDefault="008B14D3">
      <w:pPr>
        <w:pBdr>
          <w:top w:val="nil"/>
          <w:left w:val="nil"/>
          <w:bottom w:val="nil"/>
          <w:right w:val="nil"/>
          <w:between w:val="nil"/>
        </w:pBdr>
        <w:spacing w:after="200" w:line="240" w:lineRule="auto"/>
        <w:jc w:val="both"/>
        <w:rPr>
          <w:i/>
          <w:color w:val="44546A"/>
          <w:sz w:val="18"/>
          <w:szCs w:val="18"/>
        </w:rPr>
      </w:pPr>
      <w:r>
        <w:rPr>
          <w:i/>
          <w:color w:val="44546A"/>
          <w:sz w:val="18"/>
          <w:szCs w:val="18"/>
        </w:rPr>
        <w:t xml:space="preserve">Gráfico 3 Índice de Precios de Pollo, Cerdo y Vacuno 2001-2021 – FAO </w:t>
      </w:r>
    </w:p>
    <w:p w14:paraId="0000001D" w14:textId="4FAB62E8" w:rsidR="001F6D29" w:rsidRDefault="001F6D29">
      <w:pPr>
        <w:jc w:val="both"/>
        <w:rPr>
          <w:rFonts w:ascii="Arial" w:eastAsia="Arial" w:hAnsi="Arial" w:cs="Arial"/>
          <w:sz w:val="24"/>
          <w:szCs w:val="24"/>
        </w:rPr>
      </w:pPr>
    </w:p>
    <w:p w14:paraId="7CFE37D1" w14:textId="77777777" w:rsidR="006F5473" w:rsidRDefault="006F5473">
      <w:pPr>
        <w:jc w:val="both"/>
        <w:rPr>
          <w:rFonts w:ascii="Arial" w:eastAsia="Arial" w:hAnsi="Arial" w:cs="Arial"/>
          <w:sz w:val="24"/>
          <w:szCs w:val="24"/>
        </w:rPr>
      </w:pPr>
    </w:p>
    <w:p w14:paraId="0000001E" w14:textId="44041007" w:rsidR="001F6D29" w:rsidRDefault="008B14D3">
      <w:pPr>
        <w:numPr>
          <w:ilvl w:val="0"/>
          <w:numId w:val="2"/>
        </w:numPr>
        <w:pBdr>
          <w:top w:val="nil"/>
          <w:left w:val="nil"/>
          <w:bottom w:val="nil"/>
          <w:right w:val="nil"/>
          <w:between w:val="nil"/>
        </w:pBdr>
        <w:shd w:val="clear" w:color="auto" w:fill="22542A"/>
        <w:jc w:val="both"/>
        <w:rPr>
          <w:rFonts w:ascii="Arial" w:eastAsia="Arial" w:hAnsi="Arial" w:cs="Arial"/>
          <w:b/>
          <w:color w:val="FFFFFF"/>
          <w:sz w:val="28"/>
          <w:szCs w:val="28"/>
        </w:rPr>
      </w:pPr>
      <w:r>
        <w:rPr>
          <w:rFonts w:ascii="Arial" w:eastAsia="Arial" w:hAnsi="Arial" w:cs="Arial"/>
          <w:b/>
          <w:color w:val="FFFFFF"/>
          <w:sz w:val="28"/>
          <w:szCs w:val="28"/>
        </w:rPr>
        <w:t>La mesa de los argentinos está</w:t>
      </w:r>
      <w:r w:rsidR="009B0B45">
        <w:rPr>
          <w:rFonts w:ascii="Arial" w:eastAsia="Arial" w:hAnsi="Arial" w:cs="Arial"/>
          <w:b/>
          <w:color w:val="FFFFFF"/>
          <w:sz w:val="28"/>
          <w:szCs w:val="28"/>
        </w:rPr>
        <w:t xml:space="preserve"> abastecida</w:t>
      </w:r>
    </w:p>
    <w:p w14:paraId="0000001F" w14:textId="77777777" w:rsidR="001F6D29" w:rsidRDefault="008B14D3">
      <w:pPr>
        <w:jc w:val="both"/>
        <w:rPr>
          <w:rFonts w:ascii="Arial" w:eastAsia="Arial" w:hAnsi="Arial" w:cs="Arial"/>
          <w:sz w:val="20"/>
          <w:szCs w:val="20"/>
        </w:rPr>
      </w:pPr>
      <w:r>
        <w:rPr>
          <w:rFonts w:ascii="Arial" w:eastAsia="Arial" w:hAnsi="Arial" w:cs="Arial"/>
          <w:sz w:val="20"/>
          <w:szCs w:val="20"/>
        </w:rPr>
        <w:t>Al analizar el consumo total de proteína animal, por habitante, en Argentina, nos encontramos en el podio, por detrás de los Estados Unidos y delante de Australia. Si analizamos solo el consumo de carne vacuna somos los primeros del mundo muy cerca de Uruguay. La mesa de los argentinos está perfectamente abastecida de proteína animal.</w:t>
      </w:r>
    </w:p>
    <w:p w14:paraId="00000020" w14:textId="77777777" w:rsidR="001F6D29" w:rsidRDefault="008B14D3">
      <w:pPr>
        <w:keepNext/>
        <w:jc w:val="both"/>
      </w:pPr>
      <w:r>
        <w:rPr>
          <w:noProof/>
        </w:rPr>
        <w:drawing>
          <wp:inline distT="0" distB="0" distL="0" distR="0">
            <wp:extent cx="5400040" cy="2377440"/>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16807" b="4931"/>
                    <a:stretch>
                      <a:fillRect/>
                    </a:stretch>
                  </pic:blipFill>
                  <pic:spPr>
                    <a:xfrm>
                      <a:off x="0" y="0"/>
                      <a:ext cx="5400040" cy="2377440"/>
                    </a:xfrm>
                    <a:prstGeom prst="rect">
                      <a:avLst/>
                    </a:prstGeom>
                    <a:ln/>
                  </pic:spPr>
                </pic:pic>
              </a:graphicData>
            </a:graphic>
          </wp:inline>
        </w:drawing>
      </w:r>
    </w:p>
    <w:p w14:paraId="00000021" w14:textId="77777777" w:rsidR="001F6D29" w:rsidRDefault="008B14D3">
      <w:pPr>
        <w:pBdr>
          <w:top w:val="nil"/>
          <w:left w:val="nil"/>
          <w:bottom w:val="nil"/>
          <w:right w:val="nil"/>
          <w:between w:val="nil"/>
        </w:pBdr>
        <w:spacing w:after="200" w:line="240" w:lineRule="auto"/>
        <w:jc w:val="both"/>
        <w:rPr>
          <w:i/>
          <w:color w:val="44546A"/>
          <w:sz w:val="18"/>
          <w:szCs w:val="18"/>
        </w:rPr>
      </w:pPr>
      <w:r>
        <w:rPr>
          <w:i/>
          <w:color w:val="44546A"/>
          <w:sz w:val="18"/>
          <w:szCs w:val="18"/>
        </w:rPr>
        <w:t>Gráfico 4 Consumo per cápita por países (Kg/</w:t>
      </w:r>
      <w:proofErr w:type="spellStart"/>
      <w:r>
        <w:rPr>
          <w:i/>
          <w:color w:val="44546A"/>
          <w:sz w:val="18"/>
          <w:szCs w:val="18"/>
        </w:rPr>
        <w:t>hab</w:t>
      </w:r>
      <w:proofErr w:type="spellEnd"/>
      <w:r>
        <w:rPr>
          <w:i/>
          <w:color w:val="44546A"/>
          <w:sz w:val="18"/>
          <w:szCs w:val="18"/>
        </w:rPr>
        <w:t xml:space="preserve">/año) – Elaboración propia en base a </w:t>
      </w:r>
      <w:proofErr w:type="spellStart"/>
      <w:r>
        <w:rPr>
          <w:i/>
          <w:color w:val="44546A"/>
          <w:sz w:val="18"/>
          <w:szCs w:val="18"/>
        </w:rPr>
        <w:t>MinAgro</w:t>
      </w:r>
      <w:proofErr w:type="spellEnd"/>
      <w:r>
        <w:rPr>
          <w:i/>
          <w:color w:val="44546A"/>
          <w:sz w:val="18"/>
          <w:szCs w:val="18"/>
        </w:rPr>
        <w:t>, MLA, USDA, BLE, INAC, B+LNZ, CBS</w:t>
      </w:r>
    </w:p>
    <w:p w14:paraId="00000022" w14:textId="77777777" w:rsidR="001F6D29" w:rsidRDefault="001F6D29"/>
    <w:p w14:paraId="00000023" w14:textId="3FB04F74" w:rsidR="006F5473" w:rsidRDefault="006F5473">
      <w:r>
        <w:br w:type="page"/>
      </w:r>
    </w:p>
    <w:p w14:paraId="00000024" w14:textId="77777777" w:rsidR="001F6D29" w:rsidRDefault="008B14D3">
      <w:pPr>
        <w:numPr>
          <w:ilvl w:val="0"/>
          <w:numId w:val="2"/>
        </w:numPr>
        <w:pBdr>
          <w:top w:val="nil"/>
          <w:left w:val="nil"/>
          <w:bottom w:val="nil"/>
          <w:right w:val="nil"/>
          <w:between w:val="nil"/>
        </w:pBdr>
        <w:shd w:val="clear" w:color="auto" w:fill="22542A"/>
        <w:jc w:val="both"/>
        <w:rPr>
          <w:rFonts w:ascii="Arial" w:eastAsia="Arial" w:hAnsi="Arial" w:cs="Arial"/>
          <w:b/>
          <w:color w:val="FFFFFF"/>
          <w:sz w:val="28"/>
          <w:szCs w:val="28"/>
        </w:rPr>
      </w:pPr>
      <w:r>
        <w:rPr>
          <w:rFonts w:ascii="Arial" w:eastAsia="Arial" w:hAnsi="Arial" w:cs="Arial"/>
          <w:b/>
          <w:color w:val="FFFFFF"/>
          <w:sz w:val="28"/>
          <w:szCs w:val="28"/>
        </w:rPr>
        <w:lastRenderedPageBreak/>
        <w:t>El aumento de la productividad de la Ganadería Argentina.</w:t>
      </w:r>
    </w:p>
    <w:p w14:paraId="00000025" w14:textId="77777777" w:rsidR="001F6D29" w:rsidRDefault="008B14D3">
      <w:pPr>
        <w:jc w:val="both"/>
        <w:rPr>
          <w:rFonts w:ascii="Arial" w:eastAsia="Arial" w:hAnsi="Arial" w:cs="Arial"/>
          <w:sz w:val="20"/>
          <w:szCs w:val="20"/>
        </w:rPr>
      </w:pPr>
      <w:r>
        <w:rPr>
          <w:rFonts w:ascii="Arial" w:eastAsia="Arial" w:hAnsi="Arial" w:cs="Arial"/>
          <w:sz w:val="20"/>
          <w:szCs w:val="20"/>
        </w:rPr>
        <w:t>El uso de la tierra en la Argentina viene sufriendo un cambio muy importante en cuanto al paso de superficie ganadera a agrícola. Esto trae un aumento de la productividad por hectárea del 37%; 1,8% año/</w:t>
      </w:r>
      <w:proofErr w:type="spellStart"/>
      <w:r>
        <w:rPr>
          <w:rFonts w:ascii="Arial" w:eastAsia="Arial" w:hAnsi="Arial" w:cs="Arial"/>
          <w:sz w:val="20"/>
          <w:szCs w:val="20"/>
        </w:rPr>
        <w:t>ha</w:t>
      </w:r>
      <w:proofErr w:type="spellEnd"/>
      <w:r>
        <w:rPr>
          <w:rFonts w:ascii="Arial" w:eastAsia="Arial" w:hAnsi="Arial" w:cs="Arial"/>
          <w:sz w:val="20"/>
          <w:szCs w:val="20"/>
        </w:rPr>
        <w:t>, es la tasa de crecimiento de la producción de carne nacional por unidad de superficie. Hemos pasado de una producción por ha. Ganadera de 32 kg a 43 kg.</w:t>
      </w:r>
    </w:p>
    <w:p w14:paraId="00000026" w14:textId="77777777" w:rsidR="001F6D29" w:rsidRDefault="008B14D3">
      <w:pPr>
        <w:jc w:val="both"/>
      </w:pPr>
      <w:r>
        <w:rPr>
          <w:rFonts w:ascii="Arial" w:eastAsia="Arial" w:hAnsi="Arial" w:cs="Arial"/>
          <w:sz w:val="20"/>
          <w:szCs w:val="20"/>
        </w:rPr>
        <w:t xml:space="preserve"> </w:t>
      </w:r>
      <w:r>
        <w:rPr>
          <w:rFonts w:ascii="Arial" w:eastAsia="Arial" w:hAnsi="Arial" w:cs="Arial"/>
          <w:noProof/>
          <w:sz w:val="24"/>
          <w:szCs w:val="24"/>
        </w:rPr>
        <w:drawing>
          <wp:inline distT="0" distB="0" distL="0" distR="0">
            <wp:extent cx="4823136" cy="2813685"/>
            <wp:effectExtent l="0" t="0" r="0" b="0"/>
            <wp:docPr id="218" name="Grá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2032000</wp:posOffset>
                </wp:positionH>
                <wp:positionV relativeFrom="paragraph">
                  <wp:posOffset>508000</wp:posOffset>
                </wp:positionV>
                <wp:extent cx="779780" cy="1033400"/>
                <wp:effectExtent l="0" t="0" r="0" b="0"/>
                <wp:wrapNone/>
                <wp:docPr id="219" name="Conector recto de flecha 219"/>
                <wp:cNvGraphicFramePr/>
                <a:graphic xmlns:a="http://schemas.openxmlformats.org/drawingml/2006/main">
                  <a:graphicData uri="http://schemas.microsoft.com/office/word/2010/wordprocessingShape">
                    <wps:wsp>
                      <wps:cNvCnPr/>
                      <wps:spPr>
                        <a:xfrm>
                          <a:off x="4968810" y="3276000"/>
                          <a:ext cx="754380" cy="1008000"/>
                        </a:xfrm>
                        <a:prstGeom prst="straightConnector1">
                          <a:avLst/>
                        </a:prstGeom>
                        <a:noFill/>
                        <a:ln w="12700"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2032000</wp:posOffset>
                </wp:positionH>
                <wp:positionV relativeFrom="paragraph">
                  <wp:posOffset>508000</wp:posOffset>
                </wp:positionV>
                <wp:extent cx="779780" cy="1033400"/>
                <wp:effectExtent b="0" l="0" r="0" t="0"/>
                <wp:wrapNone/>
                <wp:docPr id="219"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779780" cy="1033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1993900</wp:posOffset>
                </wp:positionH>
                <wp:positionV relativeFrom="paragraph">
                  <wp:posOffset>469900</wp:posOffset>
                </wp:positionV>
                <wp:extent cx="955040" cy="429260"/>
                <wp:effectExtent l="0" t="0" r="0" b="0"/>
                <wp:wrapNone/>
                <wp:docPr id="220" name="Conector recto de flecha 220"/>
                <wp:cNvGraphicFramePr/>
                <a:graphic xmlns:a="http://schemas.openxmlformats.org/drawingml/2006/main">
                  <a:graphicData uri="http://schemas.microsoft.com/office/word/2010/wordprocessingShape">
                    <wps:wsp>
                      <wps:cNvCnPr/>
                      <wps:spPr>
                        <a:xfrm rot="10800000" flipH="1">
                          <a:off x="4881180" y="3578070"/>
                          <a:ext cx="929640" cy="403860"/>
                        </a:xfrm>
                        <a:prstGeom prst="straightConnector1">
                          <a:avLst/>
                        </a:prstGeom>
                        <a:noFill/>
                        <a:ln w="12700" cap="flat" cmpd="sng">
                          <a:solidFill>
                            <a:schemeClr val="accent2"/>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1993900</wp:posOffset>
                </wp:positionH>
                <wp:positionV relativeFrom="paragraph">
                  <wp:posOffset>469900</wp:posOffset>
                </wp:positionV>
                <wp:extent cx="955040" cy="429260"/>
                <wp:effectExtent b="0" l="0" r="0" t="0"/>
                <wp:wrapNone/>
                <wp:docPr id="220"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955040" cy="429260"/>
                        </a:xfrm>
                        <a:prstGeom prst="rect"/>
                        <a:ln/>
                      </pic:spPr>
                    </pic:pic>
                  </a:graphicData>
                </a:graphic>
              </wp:anchor>
            </w:drawing>
          </mc:Fallback>
        </mc:AlternateContent>
      </w:r>
    </w:p>
    <w:p w14:paraId="00000027" w14:textId="77777777" w:rsidR="001F6D29" w:rsidRDefault="008B14D3">
      <w:pPr>
        <w:pBdr>
          <w:top w:val="nil"/>
          <w:left w:val="nil"/>
          <w:bottom w:val="nil"/>
          <w:right w:val="nil"/>
          <w:between w:val="nil"/>
        </w:pBdr>
        <w:spacing w:after="200" w:line="240" w:lineRule="auto"/>
        <w:jc w:val="both"/>
        <w:rPr>
          <w:rFonts w:ascii="Arial" w:eastAsia="Arial" w:hAnsi="Arial" w:cs="Arial"/>
          <w:i/>
          <w:color w:val="44546A"/>
          <w:sz w:val="24"/>
          <w:szCs w:val="24"/>
        </w:rPr>
      </w:pPr>
      <w:r>
        <w:rPr>
          <w:i/>
          <w:color w:val="44546A"/>
          <w:sz w:val="18"/>
          <w:szCs w:val="18"/>
        </w:rPr>
        <w:t xml:space="preserve">Gráfico 5 Hectáreas vs Producción – Elaboración propia en base a </w:t>
      </w:r>
      <w:proofErr w:type="spellStart"/>
      <w:r>
        <w:rPr>
          <w:i/>
          <w:color w:val="44546A"/>
          <w:sz w:val="18"/>
          <w:szCs w:val="18"/>
        </w:rPr>
        <w:t>MinAgro</w:t>
      </w:r>
      <w:proofErr w:type="spellEnd"/>
    </w:p>
    <w:p w14:paraId="00000028" w14:textId="77777777" w:rsidR="001F6D29" w:rsidRDefault="001F6D29">
      <w:pPr>
        <w:jc w:val="both"/>
        <w:rPr>
          <w:rFonts w:ascii="Arial" w:eastAsia="Arial" w:hAnsi="Arial" w:cs="Arial"/>
          <w:sz w:val="24"/>
          <w:szCs w:val="24"/>
        </w:rPr>
      </w:pPr>
    </w:p>
    <w:p w14:paraId="210D7507" w14:textId="0B5E0B24" w:rsidR="009B0B45" w:rsidRDefault="008B14D3" w:rsidP="006F5473">
      <w:pPr>
        <w:jc w:val="both"/>
        <w:rPr>
          <w:rFonts w:ascii="Arial" w:eastAsia="Arial" w:hAnsi="Arial" w:cs="Arial"/>
          <w:sz w:val="20"/>
          <w:szCs w:val="20"/>
        </w:rPr>
      </w:pPr>
      <w:r w:rsidRPr="009B0B45">
        <w:rPr>
          <w:rFonts w:ascii="Arial" w:eastAsia="Arial" w:hAnsi="Arial" w:cs="Arial"/>
          <w:sz w:val="20"/>
          <w:szCs w:val="20"/>
        </w:rPr>
        <w:t>Como cierre, no podemos dejar de analizar lo que está ocurriendo en los últimos meses con los sistemas de producción de carne. Los altos precios del maíz, así como de los terneros de invernada y la firme exportación de vacas a China trajeron aparejados cambios que están modificando la producción, así como de la oferta de hacienda.</w:t>
      </w:r>
    </w:p>
    <w:p w14:paraId="3CD1FA9C" w14:textId="0D35A1EB" w:rsidR="00CB29FA" w:rsidRDefault="00CB29FA">
      <w:pPr>
        <w:rPr>
          <w:rFonts w:ascii="Arial" w:eastAsia="Arial" w:hAnsi="Arial" w:cs="Arial"/>
          <w:sz w:val="20"/>
          <w:szCs w:val="20"/>
        </w:rPr>
      </w:pPr>
      <w:r>
        <w:rPr>
          <w:rFonts w:ascii="Arial" w:eastAsia="Arial" w:hAnsi="Arial" w:cs="Arial"/>
          <w:sz w:val="20"/>
          <w:szCs w:val="20"/>
        </w:rPr>
        <w:br w:type="page"/>
      </w:r>
    </w:p>
    <w:p w14:paraId="0000002A" w14:textId="77777777" w:rsidR="001F6D29" w:rsidRPr="009B0B45" w:rsidRDefault="008B14D3">
      <w:pPr>
        <w:keepNext/>
        <w:numPr>
          <w:ilvl w:val="0"/>
          <w:numId w:val="1"/>
        </w:numPr>
        <w:pBdr>
          <w:top w:val="nil"/>
          <w:left w:val="nil"/>
          <w:bottom w:val="nil"/>
          <w:right w:val="nil"/>
          <w:between w:val="nil"/>
        </w:pBdr>
        <w:spacing w:after="0"/>
        <w:jc w:val="both"/>
        <w:rPr>
          <w:b/>
          <w:sz w:val="18"/>
          <w:szCs w:val="18"/>
        </w:rPr>
      </w:pPr>
      <w:r w:rsidRPr="009B0B45">
        <w:rPr>
          <w:rFonts w:ascii="Arial" w:eastAsia="Arial" w:hAnsi="Arial" w:cs="Arial"/>
          <w:b/>
          <w:color w:val="000000"/>
          <w:sz w:val="20"/>
          <w:szCs w:val="20"/>
        </w:rPr>
        <w:lastRenderedPageBreak/>
        <w:t xml:space="preserve">Hay menos hacienda encerrada en los corrales, dando lugar a más hacienda recriándose a campo, lo cual trae aparejado un retraso en la oferta de hacienda gorda para consumo, un faltante circunstancial de animales livianos para faena, retrasándose su salida, pero con mayor peso porque las cabezas están. </w:t>
      </w:r>
    </w:p>
    <w:p w14:paraId="0000002B" w14:textId="77777777" w:rsidR="001F6D29" w:rsidRPr="009B0B45" w:rsidRDefault="001F6D29">
      <w:pPr>
        <w:keepNext/>
        <w:pBdr>
          <w:top w:val="nil"/>
          <w:left w:val="nil"/>
          <w:bottom w:val="nil"/>
          <w:right w:val="nil"/>
          <w:between w:val="nil"/>
        </w:pBdr>
        <w:spacing w:after="0"/>
        <w:ind w:left="360"/>
        <w:jc w:val="both"/>
        <w:rPr>
          <w:b/>
          <w:color w:val="000000"/>
          <w:sz w:val="18"/>
          <w:szCs w:val="18"/>
        </w:rPr>
      </w:pPr>
    </w:p>
    <w:p w14:paraId="0000002C" w14:textId="640E9993" w:rsidR="001F6D29" w:rsidRPr="009B0B45" w:rsidRDefault="008B14D3">
      <w:pPr>
        <w:keepNext/>
        <w:numPr>
          <w:ilvl w:val="0"/>
          <w:numId w:val="1"/>
        </w:numPr>
        <w:pBdr>
          <w:top w:val="nil"/>
          <w:left w:val="nil"/>
          <w:bottom w:val="nil"/>
          <w:right w:val="nil"/>
          <w:between w:val="nil"/>
        </w:pBdr>
        <w:jc w:val="both"/>
        <w:rPr>
          <w:b/>
          <w:sz w:val="18"/>
          <w:szCs w:val="18"/>
        </w:rPr>
      </w:pPr>
      <w:r w:rsidRPr="009B0B45">
        <w:rPr>
          <w:rFonts w:ascii="Arial" w:eastAsia="Arial" w:hAnsi="Arial" w:cs="Arial"/>
          <w:b/>
          <w:color w:val="000000"/>
          <w:sz w:val="20"/>
          <w:szCs w:val="20"/>
        </w:rPr>
        <w:t xml:space="preserve">En el Gráfico 6 de la Cámara Argentina de </w:t>
      </w:r>
      <w:proofErr w:type="spellStart"/>
      <w:r w:rsidRPr="009B0B45">
        <w:rPr>
          <w:rFonts w:ascii="Arial" w:eastAsia="Arial" w:hAnsi="Arial" w:cs="Arial"/>
          <w:b/>
          <w:color w:val="000000"/>
          <w:sz w:val="20"/>
          <w:szCs w:val="20"/>
        </w:rPr>
        <w:t>Feedlot</w:t>
      </w:r>
      <w:proofErr w:type="spellEnd"/>
      <w:r w:rsidRPr="009B0B45">
        <w:rPr>
          <w:rFonts w:ascii="Arial" w:eastAsia="Arial" w:hAnsi="Arial" w:cs="Arial"/>
          <w:b/>
          <w:color w:val="000000"/>
          <w:sz w:val="20"/>
          <w:szCs w:val="20"/>
        </w:rPr>
        <w:t>, se puede observar la bajada de ocupación de los establecimientos a principios de este año a un mínimo histórico (mientras la demanda sigue empujando) y en el Cuadro 1 se corrobora la tendencia</w:t>
      </w:r>
      <w:r w:rsidR="006F5473">
        <w:rPr>
          <w:rFonts w:ascii="Arial" w:eastAsia="Arial" w:hAnsi="Arial" w:cs="Arial"/>
          <w:b/>
          <w:color w:val="000000"/>
          <w:sz w:val="20"/>
          <w:szCs w:val="20"/>
        </w:rPr>
        <w:t xml:space="preserve"> s</w:t>
      </w:r>
      <w:r w:rsidRPr="009B0B45">
        <w:rPr>
          <w:rFonts w:ascii="Arial" w:eastAsia="Arial" w:hAnsi="Arial" w:cs="Arial"/>
          <w:b/>
          <w:color w:val="000000"/>
          <w:sz w:val="20"/>
          <w:szCs w:val="20"/>
        </w:rPr>
        <w:t xml:space="preserve">egún la información del SENASA, de un menor movimiento de terneros de campos de cría a campos de engorde. </w:t>
      </w:r>
    </w:p>
    <w:p w14:paraId="0000002D" w14:textId="77777777" w:rsidR="001F6D29" w:rsidRDefault="001F6D29">
      <w:pPr>
        <w:keepNext/>
      </w:pPr>
    </w:p>
    <w:p w14:paraId="0000002E" w14:textId="77777777" w:rsidR="001F6D29" w:rsidRDefault="008B14D3" w:rsidP="006F5473">
      <w:pPr>
        <w:keepNext/>
        <w:pBdr>
          <w:top w:val="nil"/>
          <w:left w:val="nil"/>
          <w:bottom w:val="nil"/>
          <w:right w:val="nil"/>
          <w:between w:val="nil"/>
        </w:pBdr>
      </w:pPr>
      <w:r>
        <w:rPr>
          <w:noProof/>
          <w:color w:val="000000"/>
        </w:rPr>
        <w:drawing>
          <wp:inline distT="0" distB="0" distL="0" distR="0" wp14:editId="47F9D60C">
            <wp:extent cx="4876800" cy="2423160"/>
            <wp:effectExtent l="0" t="0" r="0" b="0"/>
            <wp:docPr id="2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129" t="6900" r="8560" b="1652"/>
                    <a:stretch>
                      <a:fillRect/>
                    </a:stretch>
                  </pic:blipFill>
                  <pic:spPr>
                    <a:xfrm>
                      <a:off x="0" y="0"/>
                      <a:ext cx="4876800" cy="2423160"/>
                    </a:xfrm>
                    <a:prstGeom prst="rect">
                      <a:avLst/>
                    </a:prstGeom>
                    <a:ln/>
                  </pic:spPr>
                </pic:pic>
              </a:graphicData>
            </a:graphic>
          </wp:inline>
        </w:drawing>
      </w:r>
    </w:p>
    <w:p w14:paraId="0000002F" w14:textId="77777777" w:rsidR="001F6D29" w:rsidRDefault="008B14D3">
      <w:pPr>
        <w:pBdr>
          <w:top w:val="nil"/>
          <w:left w:val="nil"/>
          <w:bottom w:val="nil"/>
          <w:right w:val="nil"/>
          <w:between w:val="nil"/>
        </w:pBdr>
        <w:spacing w:after="200" w:line="240" w:lineRule="auto"/>
        <w:jc w:val="both"/>
        <w:rPr>
          <w:rFonts w:ascii="Arial" w:eastAsia="Arial" w:hAnsi="Arial" w:cs="Arial"/>
          <w:i/>
          <w:color w:val="44546A"/>
          <w:sz w:val="24"/>
          <w:szCs w:val="24"/>
          <w:highlight w:val="yellow"/>
        </w:rPr>
      </w:pPr>
      <w:r>
        <w:rPr>
          <w:i/>
          <w:color w:val="44546A"/>
          <w:sz w:val="18"/>
          <w:szCs w:val="18"/>
        </w:rPr>
        <w:t xml:space="preserve">Gráfico 6 Porcentaje de ocupación de </w:t>
      </w:r>
      <w:proofErr w:type="spellStart"/>
      <w:r>
        <w:rPr>
          <w:i/>
          <w:color w:val="44546A"/>
          <w:sz w:val="18"/>
          <w:szCs w:val="18"/>
        </w:rPr>
        <w:t>Feedlots</w:t>
      </w:r>
      <w:proofErr w:type="spellEnd"/>
      <w:r>
        <w:rPr>
          <w:i/>
          <w:color w:val="44546A"/>
          <w:sz w:val="18"/>
          <w:szCs w:val="18"/>
        </w:rPr>
        <w:t xml:space="preserve"> – CAF </w:t>
      </w:r>
    </w:p>
    <w:p w14:paraId="00000030" w14:textId="77777777" w:rsidR="001F6D29" w:rsidRDefault="008B14D3">
      <w:pPr>
        <w:keepNext/>
        <w:jc w:val="both"/>
      </w:pPr>
      <w:r>
        <w:rPr>
          <w:noProof/>
        </w:rPr>
        <w:drawing>
          <wp:inline distT="0" distB="0" distL="0" distR="0">
            <wp:extent cx="5400040" cy="2057400"/>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t="13563" b="14628"/>
                    <a:stretch>
                      <a:fillRect/>
                    </a:stretch>
                  </pic:blipFill>
                  <pic:spPr>
                    <a:xfrm>
                      <a:off x="0" y="0"/>
                      <a:ext cx="5400040" cy="2057400"/>
                    </a:xfrm>
                    <a:prstGeom prst="rect">
                      <a:avLst/>
                    </a:prstGeom>
                    <a:ln/>
                  </pic:spPr>
                </pic:pic>
              </a:graphicData>
            </a:graphic>
          </wp:inline>
        </w:drawing>
      </w:r>
    </w:p>
    <w:p w14:paraId="00000031" w14:textId="77777777" w:rsidR="001F6D29" w:rsidRDefault="008B14D3">
      <w:pPr>
        <w:pBdr>
          <w:top w:val="nil"/>
          <w:left w:val="nil"/>
          <w:bottom w:val="nil"/>
          <w:right w:val="nil"/>
          <w:between w:val="nil"/>
        </w:pBdr>
        <w:spacing w:after="200" w:line="240" w:lineRule="auto"/>
        <w:jc w:val="both"/>
        <w:rPr>
          <w:rFonts w:ascii="Arial" w:eastAsia="Arial" w:hAnsi="Arial" w:cs="Arial"/>
          <w:i/>
          <w:color w:val="44546A"/>
          <w:sz w:val="24"/>
          <w:szCs w:val="24"/>
          <w:highlight w:val="yellow"/>
        </w:rPr>
      </w:pPr>
      <w:r>
        <w:rPr>
          <w:i/>
          <w:color w:val="44546A"/>
          <w:sz w:val="18"/>
          <w:szCs w:val="18"/>
        </w:rPr>
        <w:t xml:space="preserve">Cuadro 1 Movimientos a Invernada Primer Bimestre 2020-2021 – Elaborado por </w:t>
      </w:r>
      <w:proofErr w:type="spellStart"/>
      <w:r>
        <w:rPr>
          <w:i/>
          <w:color w:val="44546A"/>
          <w:sz w:val="18"/>
          <w:szCs w:val="18"/>
        </w:rPr>
        <w:t>SSGyPA</w:t>
      </w:r>
      <w:proofErr w:type="spellEnd"/>
      <w:r>
        <w:rPr>
          <w:i/>
          <w:color w:val="44546A"/>
          <w:sz w:val="18"/>
          <w:szCs w:val="18"/>
        </w:rPr>
        <w:t xml:space="preserve"> en base a SENASA</w:t>
      </w:r>
    </w:p>
    <w:p w14:paraId="00000032" w14:textId="77777777" w:rsidR="001F6D29" w:rsidRPr="009B0B45" w:rsidRDefault="008B14D3">
      <w:pPr>
        <w:numPr>
          <w:ilvl w:val="0"/>
          <w:numId w:val="1"/>
        </w:numPr>
        <w:pBdr>
          <w:top w:val="nil"/>
          <w:left w:val="nil"/>
          <w:bottom w:val="nil"/>
          <w:right w:val="nil"/>
          <w:between w:val="nil"/>
        </w:pBdr>
        <w:jc w:val="both"/>
        <w:rPr>
          <w:rFonts w:ascii="Arial" w:eastAsia="Arial" w:hAnsi="Arial" w:cs="Arial"/>
          <w:b/>
          <w:color w:val="000000"/>
          <w:sz w:val="20"/>
          <w:szCs w:val="20"/>
        </w:rPr>
      </w:pPr>
      <w:r w:rsidRPr="009B0B45">
        <w:rPr>
          <w:rFonts w:ascii="Arial" w:eastAsia="Arial" w:hAnsi="Arial" w:cs="Arial"/>
          <w:b/>
          <w:color w:val="000000"/>
          <w:sz w:val="20"/>
          <w:szCs w:val="20"/>
        </w:rPr>
        <w:t>Por otro lado, aunque todavía no está suficientemente reflejado en las cifras de la integración del rodeo nacional, habría m</w:t>
      </w:r>
      <w:r w:rsidRPr="009B0B45">
        <w:rPr>
          <w:rFonts w:ascii="Arial" w:eastAsia="Arial" w:hAnsi="Arial" w:cs="Arial"/>
          <w:b/>
          <w:sz w:val="20"/>
          <w:szCs w:val="20"/>
        </w:rPr>
        <w:t>á</w:t>
      </w:r>
      <w:r w:rsidRPr="009B0B45">
        <w:rPr>
          <w:rFonts w:ascii="Arial" w:eastAsia="Arial" w:hAnsi="Arial" w:cs="Arial"/>
          <w:b/>
          <w:color w:val="000000"/>
          <w:sz w:val="20"/>
          <w:szCs w:val="20"/>
        </w:rPr>
        <w:t>s terneros con menos vacas o sea se empezaría a visualizar un aumento de la relación ternero vaca</w:t>
      </w:r>
      <w:r w:rsidRPr="009B0B45">
        <w:rPr>
          <w:rFonts w:ascii="Arial" w:eastAsia="Arial" w:hAnsi="Arial" w:cs="Arial"/>
          <w:b/>
          <w:sz w:val="20"/>
          <w:szCs w:val="20"/>
        </w:rPr>
        <w:t xml:space="preserve"> dado por un aumento en la productividad.</w:t>
      </w:r>
    </w:p>
    <w:p w14:paraId="00000033" w14:textId="77777777" w:rsidR="001F6D29" w:rsidRDefault="001F6D29">
      <w:pPr>
        <w:jc w:val="both"/>
        <w:rPr>
          <w:rFonts w:ascii="Arial" w:eastAsia="Arial" w:hAnsi="Arial" w:cs="Arial"/>
          <w:sz w:val="20"/>
          <w:szCs w:val="20"/>
        </w:rPr>
      </w:pPr>
    </w:p>
    <w:p w14:paraId="0204777A" w14:textId="77777777" w:rsidR="00CB29FA" w:rsidRDefault="00CB29FA">
      <w:pPr>
        <w:rPr>
          <w:rFonts w:ascii="Arial" w:eastAsia="Arial" w:hAnsi="Arial" w:cs="Arial"/>
          <w:b/>
          <w:sz w:val="20"/>
          <w:szCs w:val="20"/>
        </w:rPr>
      </w:pPr>
      <w:r>
        <w:rPr>
          <w:rFonts w:ascii="Arial" w:eastAsia="Arial" w:hAnsi="Arial" w:cs="Arial"/>
          <w:b/>
          <w:sz w:val="20"/>
          <w:szCs w:val="20"/>
        </w:rPr>
        <w:br w:type="page"/>
      </w:r>
    </w:p>
    <w:p w14:paraId="00000034" w14:textId="2E4401C4" w:rsidR="001F6D29" w:rsidRDefault="008B14D3">
      <w:pPr>
        <w:jc w:val="both"/>
        <w:rPr>
          <w:rFonts w:ascii="Arial" w:eastAsia="Arial" w:hAnsi="Arial" w:cs="Arial"/>
          <w:b/>
          <w:sz w:val="20"/>
          <w:szCs w:val="20"/>
        </w:rPr>
      </w:pPr>
      <w:r>
        <w:rPr>
          <w:rFonts w:ascii="Arial" w:eastAsia="Arial" w:hAnsi="Arial" w:cs="Arial"/>
          <w:b/>
          <w:sz w:val="20"/>
          <w:szCs w:val="20"/>
        </w:rPr>
        <w:lastRenderedPageBreak/>
        <w:t xml:space="preserve">Lamentablemente las medidas de cierre o </w:t>
      </w:r>
      <w:proofErr w:type="spellStart"/>
      <w:r>
        <w:rPr>
          <w:rFonts w:ascii="Arial" w:eastAsia="Arial" w:hAnsi="Arial" w:cs="Arial"/>
          <w:b/>
          <w:sz w:val="20"/>
          <w:szCs w:val="20"/>
        </w:rPr>
        <w:t>cuotificación</w:t>
      </w:r>
      <w:proofErr w:type="spellEnd"/>
      <w:r>
        <w:rPr>
          <w:rFonts w:ascii="Arial" w:eastAsia="Arial" w:hAnsi="Arial" w:cs="Arial"/>
          <w:b/>
          <w:sz w:val="20"/>
          <w:szCs w:val="20"/>
        </w:rPr>
        <w:t xml:space="preserve"> de las exportaciones de carne </w:t>
      </w:r>
      <w:r w:rsidR="009B0B45">
        <w:rPr>
          <w:rFonts w:ascii="Arial" w:eastAsia="Arial" w:hAnsi="Arial" w:cs="Arial"/>
          <w:b/>
          <w:sz w:val="20"/>
          <w:szCs w:val="20"/>
        </w:rPr>
        <w:t xml:space="preserve">cortan </w:t>
      </w:r>
      <w:r>
        <w:rPr>
          <w:rFonts w:ascii="Arial" w:eastAsia="Arial" w:hAnsi="Arial" w:cs="Arial"/>
          <w:b/>
          <w:sz w:val="20"/>
          <w:szCs w:val="20"/>
        </w:rPr>
        <w:t>un ciclo virtuoso que favorecía al País promoviendo una mayor productividad del rodeo nacional, de la competitividad del sector en cuanto al uso de la tierra y del desarrollo de otras carnes como aves, porcinos y ovinos.</w:t>
      </w:r>
    </w:p>
    <w:p w14:paraId="00000035" w14:textId="77777777" w:rsidR="001F6D29" w:rsidRDefault="008B14D3">
      <w:pPr>
        <w:jc w:val="both"/>
        <w:rPr>
          <w:rFonts w:ascii="Arial" w:eastAsia="Arial" w:hAnsi="Arial" w:cs="Arial"/>
          <w:sz w:val="20"/>
          <w:szCs w:val="20"/>
        </w:rPr>
      </w:pPr>
      <w:r>
        <w:rPr>
          <w:rFonts w:ascii="Arial" w:eastAsia="Arial" w:hAnsi="Arial" w:cs="Arial"/>
          <w:sz w:val="20"/>
          <w:szCs w:val="20"/>
        </w:rPr>
        <w:t xml:space="preserve">De más está decir que se le pone un freno a la generación de trabajo y de ingreso de divisas para el País, algo no deseado teniendo en cuenta los altos niveles de pobreza, la falta de trabajo genuino y de divisas por exportación en una balanza comercial como la de la carne bovina, totalmente positiva. </w:t>
      </w:r>
    </w:p>
    <w:p w14:paraId="00000036" w14:textId="373182EA" w:rsidR="001F6D29" w:rsidRDefault="001F6D29">
      <w:pPr>
        <w:jc w:val="both"/>
        <w:rPr>
          <w:rFonts w:ascii="Arial" w:eastAsia="Arial" w:hAnsi="Arial" w:cs="Arial"/>
          <w:sz w:val="24"/>
          <w:szCs w:val="24"/>
        </w:rPr>
      </w:pPr>
      <w:bookmarkStart w:id="0" w:name="_heading=h.gjdgxs" w:colFirst="0" w:colLast="0"/>
      <w:bookmarkEnd w:id="0"/>
    </w:p>
    <w:p w14:paraId="00000037" w14:textId="4CA02829" w:rsidR="001F6D29" w:rsidRDefault="001F6D29">
      <w:pPr>
        <w:jc w:val="both"/>
        <w:rPr>
          <w:rFonts w:ascii="Arial" w:eastAsia="Arial" w:hAnsi="Arial" w:cs="Arial"/>
          <w:sz w:val="24"/>
          <w:szCs w:val="24"/>
        </w:rPr>
      </w:pPr>
    </w:p>
    <w:sectPr w:rsidR="001F6D29" w:rsidSect="006F5473">
      <w:headerReference w:type="default" r:id="rId21"/>
      <w:footerReference w:type="default" r:id="rId22"/>
      <w:pgSz w:w="11906" w:h="16838"/>
      <w:pgMar w:top="1985" w:right="1701"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2F6EE" w14:textId="77777777" w:rsidR="00B539CF" w:rsidRDefault="00B539CF">
      <w:pPr>
        <w:spacing w:after="0" w:line="240" w:lineRule="auto"/>
      </w:pPr>
      <w:r>
        <w:separator/>
      </w:r>
    </w:p>
  </w:endnote>
  <w:endnote w:type="continuationSeparator" w:id="0">
    <w:p w14:paraId="2A9D96F1" w14:textId="77777777" w:rsidR="00B539CF" w:rsidRDefault="00B5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1F6D29" w:rsidRDefault="00E41926">
    <w:pPr>
      <w:pBdr>
        <w:top w:val="nil"/>
        <w:left w:val="nil"/>
        <w:bottom w:val="nil"/>
        <w:right w:val="nil"/>
        <w:between w:val="nil"/>
      </w:pBdr>
      <w:tabs>
        <w:tab w:val="center" w:pos="4419"/>
        <w:tab w:val="right" w:pos="8838"/>
      </w:tabs>
      <w:spacing w:after="0" w:line="240" w:lineRule="auto"/>
      <w:ind w:left="-1701" w:right="-1701"/>
      <w:rPr>
        <w:color w:val="000000"/>
      </w:rPr>
    </w:pPr>
    <w:r>
      <w:rPr>
        <w:color w:val="000000"/>
      </w:rPr>
      <w:pict w14:anchorId="108DB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7pt;height:55.5pt">
          <v:imagedata r:id="rId1" o:title="footer"/>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5A946" w14:textId="77777777" w:rsidR="00B539CF" w:rsidRDefault="00B539CF">
      <w:pPr>
        <w:spacing w:after="0" w:line="240" w:lineRule="auto"/>
      </w:pPr>
      <w:r>
        <w:separator/>
      </w:r>
    </w:p>
  </w:footnote>
  <w:footnote w:type="continuationSeparator" w:id="0">
    <w:p w14:paraId="0741A5AB" w14:textId="77777777" w:rsidR="00B539CF" w:rsidRDefault="00B53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1F6D29" w:rsidRDefault="00E41926">
    <w:pPr>
      <w:pBdr>
        <w:top w:val="nil"/>
        <w:left w:val="nil"/>
        <w:bottom w:val="nil"/>
        <w:right w:val="nil"/>
        <w:between w:val="nil"/>
      </w:pBdr>
      <w:tabs>
        <w:tab w:val="center" w:pos="4419"/>
        <w:tab w:val="right" w:pos="8838"/>
      </w:tabs>
      <w:spacing w:after="0" w:line="240" w:lineRule="auto"/>
      <w:ind w:left="-1701" w:right="-1701"/>
      <w:rPr>
        <w:color w:val="000000"/>
      </w:rPr>
    </w:pPr>
    <w:r>
      <w:rPr>
        <w:color w:val="000000"/>
      </w:rPr>
      <w:pict w14:anchorId="1C31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64.5pt">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C5A56"/>
    <w:multiLevelType w:val="multilevel"/>
    <w:tmpl w:val="9EC43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A11AC3"/>
    <w:multiLevelType w:val="multilevel"/>
    <w:tmpl w:val="BFBADC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D29"/>
    <w:rsid w:val="001F6D29"/>
    <w:rsid w:val="006F5473"/>
    <w:rsid w:val="008B14D3"/>
    <w:rsid w:val="009B0B45"/>
    <w:rsid w:val="00B539CF"/>
    <w:rsid w:val="00CB29FA"/>
    <w:rsid w:val="00E419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C03FF"/>
  <w15:docId w15:val="{C62563B0-DC9D-46B8-893C-568440C7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2213F3"/>
    <w:pPr>
      <w:ind w:left="720"/>
      <w:contextualSpacing/>
    </w:pPr>
  </w:style>
  <w:style w:type="paragraph" w:styleId="Descripcin">
    <w:name w:val="caption"/>
    <w:basedOn w:val="Normal"/>
    <w:next w:val="Normal"/>
    <w:uiPriority w:val="35"/>
    <w:unhideWhenUsed/>
    <w:qFormat/>
    <w:rsid w:val="00124CBF"/>
    <w:pPr>
      <w:spacing w:after="200" w:line="240" w:lineRule="auto"/>
    </w:pPr>
    <w:rPr>
      <w:i/>
      <w:iCs/>
      <w:color w:val="44546A" w:themeColor="text2"/>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A223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2305"/>
  </w:style>
  <w:style w:type="paragraph" w:styleId="Piedepgina">
    <w:name w:val="footer"/>
    <w:basedOn w:val="Normal"/>
    <w:link w:val="PiedepginaCar"/>
    <w:uiPriority w:val="99"/>
    <w:unhideWhenUsed/>
    <w:rsid w:val="00A223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Hectareas</c:v>
                </c:pt>
              </c:strCache>
            </c:strRef>
          </c:tx>
          <c:spPr>
            <a:solidFill>
              <a:schemeClr val="accent1"/>
            </a:solidFill>
            <a:ln>
              <a:noFill/>
            </a:ln>
            <a:effectLst/>
          </c:spPr>
          <c:invertIfNegative val="0"/>
          <c:cat>
            <c:numRef>
              <c:f>Hoja1!$A$2:$A$3</c:f>
              <c:numCache>
                <c:formatCode>General</c:formatCode>
                <c:ptCount val="2"/>
                <c:pt idx="0">
                  <c:v>2002</c:v>
                </c:pt>
                <c:pt idx="1">
                  <c:v>2020</c:v>
                </c:pt>
              </c:numCache>
            </c:numRef>
          </c:cat>
          <c:val>
            <c:numRef>
              <c:f>Hoja1!$B$2:$B$3</c:f>
              <c:numCache>
                <c:formatCode>General</c:formatCode>
                <c:ptCount val="2"/>
                <c:pt idx="0">
                  <c:v>143800000</c:v>
                </c:pt>
                <c:pt idx="1">
                  <c:v>130400000</c:v>
                </c:pt>
              </c:numCache>
            </c:numRef>
          </c:val>
          <c:extLst>
            <c:ext xmlns:c16="http://schemas.microsoft.com/office/drawing/2014/chart" uri="{C3380CC4-5D6E-409C-BE32-E72D297353CC}">
              <c16:uniqueId val="{00000000-2AF5-4CA5-9DD4-A5753BF042DC}"/>
            </c:ext>
          </c:extLst>
        </c:ser>
        <c:dLbls>
          <c:showLegendKey val="0"/>
          <c:showVal val="0"/>
          <c:showCatName val="0"/>
          <c:showSerName val="0"/>
          <c:showPercent val="0"/>
          <c:showBubbleSize val="0"/>
        </c:dLbls>
        <c:gapWidth val="100"/>
        <c:overlap val="100"/>
        <c:axId val="2063523360"/>
        <c:axId val="485763168"/>
      </c:barChart>
      <c:barChart>
        <c:barDir val="col"/>
        <c:grouping val="clustered"/>
        <c:varyColors val="0"/>
        <c:ser>
          <c:idx val="1"/>
          <c:order val="1"/>
          <c:tx>
            <c:strRef>
              <c:f>Hoja1!$C$1</c:f>
              <c:strCache>
                <c:ptCount val="1"/>
                <c:pt idx="0">
                  <c:v>Toneladas</c:v>
                </c:pt>
              </c:strCache>
            </c:strRef>
          </c:tx>
          <c:spPr>
            <a:solidFill>
              <a:schemeClr val="accent2"/>
            </a:solidFill>
            <a:ln>
              <a:noFill/>
            </a:ln>
            <a:effectLst/>
          </c:spPr>
          <c:invertIfNegative val="0"/>
          <c:cat>
            <c:numRef>
              <c:f>Hoja1!$A$2:$A$3</c:f>
              <c:numCache>
                <c:formatCode>General</c:formatCode>
                <c:ptCount val="2"/>
                <c:pt idx="0">
                  <c:v>2002</c:v>
                </c:pt>
                <c:pt idx="1">
                  <c:v>2020</c:v>
                </c:pt>
              </c:numCache>
            </c:numRef>
          </c:cat>
          <c:val>
            <c:numRef>
              <c:f>Hoja1!$C$2:$C$3</c:f>
              <c:numCache>
                <c:formatCode>General</c:formatCode>
                <c:ptCount val="2"/>
                <c:pt idx="0">
                  <c:v>2500000</c:v>
                </c:pt>
                <c:pt idx="1">
                  <c:v>3100000</c:v>
                </c:pt>
              </c:numCache>
            </c:numRef>
          </c:val>
          <c:extLst>
            <c:ext xmlns:c16="http://schemas.microsoft.com/office/drawing/2014/chart" uri="{C3380CC4-5D6E-409C-BE32-E72D297353CC}">
              <c16:uniqueId val="{00000001-2AF5-4CA5-9DD4-A5753BF042DC}"/>
            </c:ext>
          </c:extLst>
        </c:ser>
        <c:dLbls>
          <c:showLegendKey val="0"/>
          <c:showVal val="0"/>
          <c:showCatName val="0"/>
          <c:showSerName val="0"/>
          <c:showPercent val="0"/>
          <c:showBubbleSize val="0"/>
        </c:dLbls>
        <c:gapWidth val="300"/>
        <c:axId val="485772960"/>
        <c:axId val="485763712"/>
      </c:barChart>
      <c:catAx>
        <c:axId val="20635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85763168"/>
        <c:crosses val="autoZero"/>
        <c:auto val="1"/>
        <c:lblAlgn val="ctr"/>
        <c:lblOffset val="100"/>
        <c:noMultiLvlLbl val="0"/>
      </c:catAx>
      <c:valAx>
        <c:axId val="48576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063523360"/>
        <c:crosses val="autoZero"/>
        <c:crossBetween val="between"/>
      </c:valAx>
      <c:valAx>
        <c:axId val="4857637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485772960"/>
        <c:crosses val="max"/>
        <c:crossBetween val="between"/>
      </c:valAx>
      <c:catAx>
        <c:axId val="485772960"/>
        <c:scaling>
          <c:orientation val="minMax"/>
        </c:scaling>
        <c:delete val="1"/>
        <c:axPos val="b"/>
        <c:numFmt formatCode="General" sourceLinked="1"/>
        <c:majorTickMark val="out"/>
        <c:minorTickMark val="none"/>
        <c:tickLblPos val="nextTo"/>
        <c:crossAx val="485763712"/>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2hsfprTyDcGoJnhfMqkbSG/rQ==">AMUW2mXvcLn9azOE9720zk8ZExTlaLZOsfiM8OlVTPZr7lMxQRdgSHmmcbI6998ZZLFsmeO7ENcClQMGEdPuJ5xolDyTUTMyHxP8PiCtEKNrAGxaDbfhqBOAU9p/2elGSkZvxOV6CShE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6</Pages>
  <Words>670</Words>
  <Characters>3691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Canosa</dc:creator>
  <cp:lastModifiedBy>Lucas D. Oliveros</cp:lastModifiedBy>
  <cp:revision>5</cp:revision>
  <dcterms:created xsi:type="dcterms:W3CDTF">2021-08-09T13:14:00Z</dcterms:created>
  <dcterms:modified xsi:type="dcterms:W3CDTF">2021-08-11T12:15:00Z</dcterms:modified>
</cp:coreProperties>
</file>